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u w:val="single"/>
          <w:rtl w:val="0"/>
        </w:rPr>
        <w:t xml:space="preserve">2015 RRIF Withdrawal Minimums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4743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034"/>
        <w:gridCol w:w="1989"/>
        <w:tblGridChange w:id="0">
          <w:tblGrid>
            <w:gridCol w:w="720"/>
            <w:gridCol w:w="2034"/>
            <w:gridCol w:w="1989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Your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Former Minimum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Withdrawal Rates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New Minimum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rtl w:val="0"/>
              </w:rPr>
              <w:t xml:space="preserve">Withdrawal Rates*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3.33%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3.33%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3.45%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3.45%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3.57%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3.57%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3.70%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3.70%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3.85%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3.85%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4.00%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4.00%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4.17%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4.17%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4.35%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4.35%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4.55%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4.55%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4.76%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4.76%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5.00%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5.00%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7.38%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highlight w:val="yellow"/>
                <w:rtl w:val="0"/>
              </w:rPr>
              <w:t xml:space="preserve">5.28%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7.48%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highlight w:val="yellow"/>
                <w:rtl w:val="0"/>
              </w:rPr>
              <w:t xml:space="preserve">5.40%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7.59%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highlight w:val="yellow"/>
                <w:rtl w:val="0"/>
              </w:rPr>
              <w:t xml:space="preserve">5.53%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7.71%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highlight w:val="yellow"/>
                <w:rtl w:val="0"/>
              </w:rPr>
              <w:t xml:space="preserve">5.67%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7.85%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highlight w:val="yellow"/>
                <w:rtl w:val="0"/>
              </w:rPr>
              <w:t xml:space="preserve">5.82%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7.99%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5.98%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8.15%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6.17%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8.33%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6.36%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8.53%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6.58%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8.75%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6.82%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8.99%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7.08%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9.27%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7.38%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9.58%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7.71%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9.93%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8.08%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10.33%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8.51%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10.79%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8.99%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11.33%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9.55%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11.96%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10.21%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12.71%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10.99%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13.62%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11.92%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14.73%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13.06%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16.12%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14.49%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17.92%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16.34%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20.00%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highlight w:val="yellow"/>
                <w:rtl w:val="0"/>
              </w:rPr>
              <w:t xml:space="preserve">18.79%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95 +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rtl w:val="0"/>
              </w:rPr>
              <w:t xml:space="preserve">20.00%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rtl w:val="0"/>
              </w:rPr>
              <w:t xml:space="preserve">20.00%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2"/>
          <w:rtl w:val="0"/>
        </w:rPr>
        <w:t xml:space="preserve">*Changes highlighted in yellow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2"/>
          <w:rtl w:val="0"/>
        </w:rPr>
        <w:t xml:space="preserve">Source: KCM Wealth Management Inc.</w:t>
      </w:r>
    </w:p>
    <w:sectPr>
      <w:footerReference r:id="rId5" w:type="default"/>
      <w:pgSz w:h="15840" w:w="12240"/>
      <w:pgMar w:bottom="1440" w:top="1440" w:left="1440" w:right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12240.0" w:type="dxa"/>
      <w:jc w:val="left"/>
      <w:tblInd w:w="-1795.0" w:type="dxa"/>
      <w:tblLayout w:type="fixed"/>
      <w:tblLook w:val="0000"/>
    </w:tblPr>
    <w:tblGrid>
      <w:gridCol w:w="5784"/>
      <w:gridCol w:w="6456"/>
      <w:tblGridChange w:id="0">
        <w:tblGrid>
          <w:gridCol w:w="5784"/>
          <w:gridCol w:w="6456"/>
        </w:tblGrid>
      </w:tblGridChange>
    </w:tblGrid>
    <w:tr>
      <w:trPr>
        <w:trHeight w:val="820" w:hRule="atLeast"/>
      </w:trPr>
      <w:tc>
        <w:tcPr/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14" w:before="0" w:line="240" w:lineRule="auto"/>
            <w:contextualSpacing w:val="0"/>
          </w:pPr>
          <w:r w:rsidDel="00000000" w:rsidR="00000000" w:rsidRPr="00000000">
            <w:drawing>
              <wp:inline distB="0" distT="0" distL="0" distR="0">
                <wp:extent cx="3538220" cy="668020"/>
                <wp:effectExtent b="0" l="0" r="0" t="0"/>
                <wp:docPr descr="Letterhead - Footer" id="1" name="image01.png"/>
                <a:graphic>
                  <a:graphicData uri="http://schemas.openxmlformats.org/drawingml/2006/picture">
                    <pic:pic>
                      <pic:nvPicPr>
                        <pic:cNvPr descr="Letterhead - Footer" id="0" name="image0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220" cy="668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14" w:before="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spacing w:after="14" w:before="0" w:line="240" w:lineRule="auto"/>
      <w:ind w:left="-1797" w:firstLine="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